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91" w:rsidRDefault="009C3ECE">
      <w:pPr>
        <w:pStyle w:val="BodyText"/>
        <w:ind w:left="12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7022457" cy="9875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2457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291" w:rsidRDefault="009C3ECE">
      <w:pPr>
        <w:pStyle w:val="BodyText"/>
        <w:bidi/>
        <w:spacing w:before="46"/>
        <w:ind w:left="1103" w:right="963"/>
      </w:pPr>
      <w:r>
        <w:rPr>
          <w:color w:val="002364"/>
          <w:w w:val="9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E53CC" w:rsidRPr="00BE53CC" w:rsidRDefault="00BE53CC" w:rsidP="00BE53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Testimonial study on PRO4000X </w:t>
      </w:r>
    </w:p>
    <w:p w:rsidR="00BE53CC" w:rsidRPr="00BE53CC" w:rsidRDefault="00BE53CC" w:rsidP="00BE53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>A before-and –after analysis of customer experiences</w:t>
      </w:r>
    </w:p>
    <w:p w:rsidR="00BE53CC" w:rsidRPr="00BE53CC" w:rsidRDefault="00BE53CC" w:rsidP="00BE53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53CC">
        <w:rPr>
          <w:rFonts w:ascii="Times New Roman" w:eastAsia="Calibri" w:hAnsi="Times New Roman" w:cs="Times New Roman"/>
          <w:sz w:val="24"/>
          <w:szCs w:val="24"/>
        </w:rPr>
        <w:t>Bephamon</w:t>
      </w:r>
      <w:proofErr w:type="spellEnd"/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53CC" w:rsidRPr="00BE53CC" w:rsidRDefault="00BE53CC" w:rsidP="00BE53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53CC">
        <w:rPr>
          <w:rFonts w:ascii="Times New Roman" w:eastAsia="Calibri" w:hAnsi="Times New Roman" w:cs="Times New Roman"/>
          <w:b/>
          <w:bCs/>
          <w:sz w:val="28"/>
          <w:szCs w:val="28"/>
        </w:rPr>
        <w:t>Introduction</w:t>
      </w:r>
    </w:p>
    <w:p w:rsidR="00BE53CC" w:rsidRPr="00BE53CC" w:rsidRDefault="00BE53CC" w:rsidP="00BE53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b/>
          <w:bCs/>
          <w:sz w:val="24"/>
          <w:szCs w:val="24"/>
        </w:rPr>
        <w:t>Purpose:</w:t>
      </w: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 Assess customer satisfaction, product effectiveness and making a comparison between other probiotics in the Egyptian market.</w:t>
      </w:r>
    </w:p>
    <w:p w:rsidR="00BE53CC" w:rsidRPr="00BE53CC" w:rsidRDefault="00BE53CC" w:rsidP="00BE53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b/>
          <w:bCs/>
          <w:sz w:val="24"/>
          <w:szCs w:val="24"/>
        </w:rPr>
        <w:t>Product overview:</w:t>
      </w: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 the concentration used is </w:t>
      </w:r>
      <w:r w:rsidRPr="00BE53CC">
        <w:rPr>
          <w:rFonts w:ascii="Times New Roman" w:eastAsia="Calibri" w:hAnsi="Times New Roman" w:cs="Times New Roman"/>
          <w:b/>
          <w:bCs/>
          <w:sz w:val="24"/>
          <w:szCs w:val="24"/>
        </w:rPr>
        <w:t>5 X 10*9</w:t>
      </w: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 CFU/Gram. </w:t>
      </w:r>
      <w:proofErr w:type="gramStart"/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Used this product to assess water quality, ammonia level in ponds, effect on FCR rate, immunity against harmful bacteria, specifically vibrio in shrimp and streptococcus and </w:t>
      </w:r>
      <w:proofErr w:type="spellStart"/>
      <w:r w:rsidRPr="00BE53CC">
        <w:rPr>
          <w:rFonts w:ascii="Times New Roman" w:eastAsia="Calibri" w:hAnsi="Times New Roman" w:cs="Times New Roman"/>
          <w:sz w:val="24"/>
          <w:szCs w:val="24"/>
        </w:rPr>
        <w:t>Aeromonas</w:t>
      </w:r>
      <w:proofErr w:type="spellEnd"/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 in Nile tilapia, and bacterial load in ponds.</w:t>
      </w:r>
      <w:proofErr w:type="gramEnd"/>
    </w:p>
    <w:p w:rsidR="00BE53CC" w:rsidRPr="00BE53CC" w:rsidRDefault="00BE53CC" w:rsidP="00BE53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b/>
          <w:bCs/>
          <w:sz w:val="24"/>
          <w:szCs w:val="24"/>
        </w:rPr>
        <w:t>Application:</w:t>
      </w: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 Shrimp and Nile Tilapia ponds.</w:t>
      </w:r>
    </w:p>
    <w:p w:rsidR="00BE53CC" w:rsidRPr="00BE53CC" w:rsidRDefault="00BE53CC" w:rsidP="00BE53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b/>
          <w:bCs/>
          <w:sz w:val="24"/>
          <w:szCs w:val="24"/>
        </w:rPr>
        <w:t>Methodology:</w:t>
      </w: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53CC" w:rsidRPr="00BE53CC" w:rsidRDefault="00BE53CC" w:rsidP="00BE53CC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>Collected testimonials before and after product use</w:t>
      </w:r>
    </w:p>
    <w:p w:rsidR="00BE53CC" w:rsidRPr="00BE53CC" w:rsidRDefault="00BE53CC" w:rsidP="00BE53CC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Collected samples to make PCR test to evaluate the infection of vibrio in shrimp, streptococcus and </w:t>
      </w:r>
      <w:proofErr w:type="spellStart"/>
      <w:r w:rsidRPr="00BE53CC">
        <w:rPr>
          <w:rFonts w:ascii="Times New Roman" w:eastAsia="Calibri" w:hAnsi="Times New Roman" w:cs="Times New Roman"/>
          <w:sz w:val="24"/>
          <w:szCs w:val="24"/>
        </w:rPr>
        <w:t>Aeromonas</w:t>
      </w:r>
      <w:proofErr w:type="spellEnd"/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 in Nile Tilapia</w:t>
      </w:r>
    </w:p>
    <w:p w:rsidR="00BE53CC" w:rsidRPr="00BE53CC" w:rsidRDefault="00BE53CC" w:rsidP="00BE53CC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Made water analysis using digital Ammonia photometer to asses ammonia level in ponds before and after using the product, </w:t>
      </w:r>
    </w:p>
    <w:p w:rsidR="00BE53CC" w:rsidRPr="00BE53CC" w:rsidRDefault="00BE53CC" w:rsidP="00BE53CC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>Analyzed PH level using digital PH measurement device and collected samples to measure FCR rate by calculating the average weight before and after using the product.</w:t>
      </w:r>
    </w:p>
    <w:p w:rsidR="00BE53CC" w:rsidRPr="00BE53CC" w:rsidRDefault="00BE53CC" w:rsidP="00BE53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*All this was done under the supervision of the company technical team. All PCR tests were done in our company lab using RT PCR. </w:t>
      </w:r>
    </w:p>
    <w:p w:rsidR="00BE53CC" w:rsidRPr="00BE53CC" w:rsidRDefault="00BE53CC" w:rsidP="00BE53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53CC" w:rsidRPr="00BE53CC" w:rsidRDefault="00BE53CC" w:rsidP="00BE53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53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Testimonial Analysis: Before and After </w:t>
      </w:r>
    </w:p>
    <w:p w:rsidR="00BE53CC" w:rsidRPr="00BE53CC" w:rsidRDefault="00BE53CC" w:rsidP="00BE53CC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53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Pre-Use feedback </w:t>
      </w:r>
    </w:p>
    <w:p w:rsidR="00BE53CC" w:rsidRPr="00BE53CC" w:rsidRDefault="00BE53CC" w:rsidP="00BE53CC">
      <w:pPr>
        <w:widowControl/>
        <w:autoSpaceDE/>
        <w:autoSpaceDN/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“Before using Pro4000X, many customers reported that the overall water quality was very bad: high ammonia level, increased organic matter, poor feed conversion and high mortality rate due to spreading the infection of Vibrio in shrimp and </w:t>
      </w:r>
      <w:proofErr w:type="spellStart"/>
      <w:r w:rsidRPr="00BE53CC">
        <w:rPr>
          <w:rFonts w:ascii="Times New Roman" w:eastAsia="Calibri" w:hAnsi="Times New Roman" w:cs="Times New Roman"/>
          <w:sz w:val="24"/>
          <w:szCs w:val="24"/>
        </w:rPr>
        <w:t>Aeromonas</w:t>
      </w:r>
      <w:proofErr w:type="spellEnd"/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 in Nile Tilapia. A high-profile customer shared, “I have struggled with the poor water quality, increased organic matter and the ammonia level which affected the FCR rate and cause high mortality”</w:t>
      </w:r>
    </w:p>
    <w:p w:rsidR="00BE53CC" w:rsidRPr="00BE53CC" w:rsidRDefault="00BE53CC" w:rsidP="00BE53CC">
      <w:pPr>
        <w:widowControl/>
        <w:autoSpaceDE/>
        <w:autoSpaceDN/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>The Treatment plan and recommendation after making all the tests mentioned before was as follows:</w:t>
      </w:r>
    </w:p>
    <w:p w:rsidR="00BE53CC" w:rsidRPr="00BE53CC" w:rsidRDefault="00BE53CC" w:rsidP="00BE53CC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Using pro4000X 100 gram / 4200 m³ on water </w:t>
      </w:r>
    </w:p>
    <w:p w:rsidR="00BE53CC" w:rsidRPr="00BE53CC" w:rsidRDefault="00BE53CC" w:rsidP="00BE53CC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Using Pro4000X 1 gram / Kg on feed   </w:t>
      </w:r>
    </w:p>
    <w:p w:rsidR="00BE53CC" w:rsidRDefault="00BE53CC" w:rsidP="00BE53CC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Do this for 1 month every 15 days </w:t>
      </w:r>
    </w:p>
    <w:p w:rsidR="00BE53CC" w:rsidRDefault="00BE53CC" w:rsidP="00BE53CC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53CC" w:rsidRDefault="00BE53CC" w:rsidP="00BE53CC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53CC" w:rsidRPr="00BE53CC" w:rsidRDefault="002D6049" w:rsidP="002D6049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/>
          <w:b/>
          <w:noProof/>
          <w:sz w:val="20"/>
        </w:rPr>
        <w:drawing>
          <wp:inline distT="0" distB="0" distL="0" distR="0" wp14:anchorId="6C03FB7D" wp14:editId="6FD3E956">
            <wp:extent cx="7022457" cy="987551"/>
            <wp:effectExtent l="0" t="0" r="0" b="0"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2457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364"/>
          <w:w w:val="98"/>
          <w:rtl/>
        </w:rPr>
        <w:t>ـ</w:t>
      </w:r>
    </w:p>
    <w:p w:rsidR="004706F3" w:rsidRDefault="004706F3" w:rsidP="004706F3">
      <w:pPr>
        <w:widowControl/>
        <w:autoSpaceDE/>
        <w:autoSpaceDN/>
        <w:spacing w:after="160" w:line="259" w:lineRule="auto"/>
        <w:ind w:left="45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06F3" w:rsidRDefault="004706F3" w:rsidP="004706F3">
      <w:pPr>
        <w:widowControl/>
        <w:autoSpaceDE/>
        <w:autoSpaceDN/>
        <w:spacing w:after="160" w:line="259" w:lineRule="auto"/>
        <w:ind w:left="45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06F3" w:rsidRDefault="004706F3" w:rsidP="004706F3">
      <w:pPr>
        <w:pStyle w:val="BodyText"/>
        <w:bidi/>
        <w:spacing w:before="46"/>
        <w:ind w:left="1103" w:right="963"/>
      </w:pPr>
      <w:r>
        <w:rPr>
          <w:color w:val="002364"/>
          <w:w w:val="9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06F3" w:rsidRDefault="004706F3" w:rsidP="004706F3">
      <w:pPr>
        <w:widowControl/>
        <w:autoSpaceDE/>
        <w:autoSpaceDN/>
        <w:spacing w:after="160" w:line="259" w:lineRule="auto"/>
        <w:ind w:left="45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06F3" w:rsidRDefault="004706F3" w:rsidP="004706F3">
      <w:pPr>
        <w:widowControl/>
        <w:autoSpaceDE/>
        <w:autoSpaceDN/>
        <w:spacing w:after="160" w:line="259" w:lineRule="auto"/>
        <w:ind w:left="45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06F3" w:rsidRPr="004706F3" w:rsidRDefault="00BE53CC" w:rsidP="004706F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06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Post-Use feedback </w:t>
      </w:r>
      <w:bookmarkStart w:id="0" w:name="_GoBack"/>
      <w:bookmarkEnd w:id="0"/>
    </w:p>
    <w:p w:rsidR="00BE53CC" w:rsidRPr="00BE53CC" w:rsidRDefault="00BE53CC" w:rsidP="00BE53CC">
      <w:pPr>
        <w:widowControl/>
        <w:autoSpaceDE/>
        <w:autoSpaceDN/>
        <w:spacing w:after="160" w:line="259" w:lineRule="auto"/>
        <w:ind w:left="81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>After just 15 days, our high-profile customers reported significant improvements in the</w:t>
      </w:r>
      <w:r w:rsidRPr="00BE53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overall water quality appearance, decrease in organic matter and ammonia levels, decrease in mortality rate and an improved feed conversion rate. </w:t>
      </w:r>
    </w:p>
    <w:p w:rsidR="00BE53CC" w:rsidRPr="00BE53CC" w:rsidRDefault="00BE53CC" w:rsidP="00BE53CC">
      <w:pPr>
        <w:widowControl/>
        <w:autoSpaceDE/>
        <w:autoSpaceDN/>
        <w:spacing w:after="160" w:line="259" w:lineRule="auto"/>
        <w:ind w:left="81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The overall situation of the ponds is becoming </w:t>
      </w:r>
      <w:proofErr w:type="gramStart"/>
      <w:r w:rsidRPr="00BE53CC">
        <w:rPr>
          <w:rFonts w:ascii="Times New Roman" w:eastAsia="Calibri" w:hAnsi="Times New Roman" w:cs="Times New Roman"/>
          <w:sz w:val="24"/>
          <w:szCs w:val="24"/>
        </w:rPr>
        <w:t>better,</w:t>
      </w:r>
      <w:proofErr w:type="gramEnd"/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 our customers are beginning to feel satisfaction of using PRO4000X. They highly appreciate the effectiveness of the product. In just 15 days the ponds became better than before </w:t>
      </w:r>
    </w:p>
    <w:p w:rsidR="00BE53CC" w:rsidRPr="00BE53CC" w:rsidRDefault="00BE53CC" w:rsidP="00BE53CC">
      <w:pPr>
        <w:widowControl/>
        <w:autoSpaceDE/>
        <w:autoSpaceDN/>
        <w:spacing w:after="160" w:line="259" w:lineRule="auto"/>
        <w:ind w:left="81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All the results using our methodology mentioned before were verified under supervision of the company technical team. </w:t>
      </w:r>
    </w:p>
    <w:p w:rsidR="00BE53CC" w:rsidRPr="00BE53CC" w:rsidRDefault="00BE53CC" w:rsidP="00BE53CC">
      <w:pPr>
        <w:widowControl/>
        <w:tabs>
          <w:tab w:val="left" w:pos="1230"/>
        </w:tabs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53CC" w:rsidRPr="00BE53CC" w:rsidRDefault="00BE53CC" w:rsidP="00BE53CC">
      <w:pPr>
        <w:widowControl/>
        <w:numPr>
          <w:ilvl w:val="0"/>
          <w:numId w:val="1"/>
        </w:numPr>
        <w:tabs>
          <w:tab w:val="left" w:pos="1140"/>
          <w:tab w:val="left" w:pos="1230"/>
        </w:tabs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53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Cost effectiveness comparing to using the INVE SANOLIFE PRO-W probiotic </w:t>
      </w:r>
    </w:p>
    <w:p w:rsidR="00BE53CC" w:rsidRPr="00BE53CC" w:rsidRDefault="00BE53CC" w:rsidP="00BE53CC">
      <w:pPr>
        <w:widowControl/>
        <w:tabs>
          <w:tab w:val="left" w:pos="1140"/>
          <w:tab w:val="left" w:pos="1230"/>
        </w:tabs>
        <w:autoSpaceDE/>
        <w:autoSpaceDN/>
        <w:spacing w:after="160" w:line="259" w:lineRule="auto"/>
        <w:ind w:left="81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53CC" w:rsidRPr="00BE53CC" w:rsidRDefault="00BE53CC" w:rsidP="00BE53CC">
      <w:pPr>
        <w:widowControl/>
        <w:tabs>
          <w:tab w:val="left" w:pos="1140"/>
          <w:tab w:val="left" w:pos="1230"/>
        </w:tabs>
        <w:autoSpaceDE/>
        <w:autoSpaceDN/>
        <w:spacing w:after="160" w:line="259" w:lineRule="auto"/>
        <w:ind w:left="81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Our customers shared that when they were comparing Pro4000X and the other product </w:t>
      </w:r>
    </w:p>
    <w:p w:rsidR="00BE53CC" w:rsidRPr="00BE53CC" w:rsidRDefault="00BE53CC" w:rsidP="00BE53CC">
      <w:pPr>
        <w:widowControl/>
        <w:tabs>
          <w:tab w:val="left" w:pos="1140"/>
          <w:tab w:val="left" w:pos="1230"/>
        </w:tabs>
        <w:autoSpaceDE/>
        <w:autoSpaceDN/>
        <w:spacing w:after="160" w:line="259" w:lineRule="auto"/>
        <w:ind w:left="81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(INVE SANOLIFE PRO-W, they noticed that using Pro4000X by our recommended protocols gives the same results as they had expected from INVE SANOLIFE PRO-W, but with less cost. As a result of this, they have shifted to using Pro4000X after seeing great results from using Pro4000X and its cost effectiveness compared to the other product. </w:t>
      </w:r>
    </w:p>
    <w:p w:rsidR="00BE53CC" w:rsidRPr="00BE53CC" w:rsidRDefault="00BE53CC" w:rsidP="00BE53CC">
      <w:pPr>
        <w:widowControl/>
        <w:tabs>
          <w:tab w:val="left" w:pos="1140"/>
          <w:tab w:val="left" w:pos="1230"/>
        </w:tabs>
        <w:autoSpaceDE/>
        <w:autoSpaceDN/>
        <w:spacing w:after="160" w:line="259" w:lineRule="auto"/>
        <w:ind w:left="81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53CC" w:rsidRPr="00BE53CC" w:rsidRDefault="00BE53CC" w:rsidP="00BE53CC">
      <w:pPr>
        <w:widowControl/>
        <w:numPr>
          <w:ilvl w:val="0"/>
          <w:numId w:val="1"/>
        </w:numPr>
        <w:tabs>
          <w:tab w:val="left" w:pos="1140"/>
          <w:tab w:val="left" w:pos="1230"/>
        </w:tabs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53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Conclusion: </w:t>
      </w:r>
    </w:p>
    <w:p w:rsidR="00BE53CC" w:rsidRPr="00BE53CC" w:rsidRDefault="00BE53CC" w:rsidP="00BE53CC">
      <w:pPr>
        <w:widowControl/>
        <w:tabs>
          <w:tab w:val="left" w:pos="1140"/>
          <w:tab w:val="left" w:pos="1230"/>
        </w:tabs>
        <w:autoSpaceDE/>
        <w:autoSpaceDN/>
        <w:spacing w:after="160" w:line="259" w:lineRule="auto"/>
        <w:ind w:left="81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53CC" w:rsidRPr="00BE53CC" w:rsidRDefault="00BE53CC" w:rsidP="00BE53CC">
      <w:pPr>
        <w:widowControl/>
        <w:tabs>
          <w:tab w:val="left" w:pos="1140"/>
          <w:tab w:val="left" w:pos="1230"/>
        </w:tabs>
        <w:autoSpaceDE/>
        <w:autoSpaceDN/>
        <w:spacing w:after="160" w:line="259" w:lineRule="auto"/>
        <w:ind w:left="81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3CC">
        <w:rPr>
          <w:rFonts w:ascii="Times New Roman" w:eastAsia="Calibri" w:hAnsi="Times New Roman" w:cs="Times New Roman"/>
          <w:sz w:val="24"/>
          <w:szCs w:val="24"/>
        </w:rPr>
        <w:t xml:space="preserve">The using of PRO4000X have made our customers satisfied with its results and cost effectiveness compared to other competitor probiotics in our Egyptian market. </w:t>
      </w:r>
    </w:p>
    <w:p w:rsidR="00C96291" w:rsidRDefault="00C96291">
      <w:pPr>
        <w:pStyle w:val="BodyText"/>
        <w:spacing w:before="111"/>
      </w:pPr>
    </w:p>
    <w:p w:rsidR="00C96291" w:rsidRDefault="00C96291" w:rsidP="006A35F1">
      <w:pPr>
        <w:bidi/>
        <w:spacing w:before="1" w:line="424" w:lineRule="auto"/>
        <w:ind w:left="8367" w:right="1077" w:firstLine="254"/>
        <w:rPr>
          <w:rFonts w:ascii="Times New Roman" w:cs="Times New Roman"/>
          <w:b/>
          <w:bCs/>
          <w:sz w:val="28"/>
          <w:szCs w:val="28"/>
        </w:rPr>
      </w:pPr>
    </w:p>
    <w:p w:rsidR="00BE53CC" w:rsidRDefault="00BE53CC" w:rsidP="00BE53CC">
      <w:pPr>
        <w:bidi/>
        <w:spacing w:before="1" w:line="424" w:lineRule="auto"/>
        <w:ind w:left="8367" w:right="1077" w:firstLine="254"/>
        <w:rPr>
          <w:rFonts w:ascii="Times New Roman" w:cs="Times New Roman"/>
          <w:b/>
          <w:bCs/>
          <w:sz w:val="28"/>
          <w:szCs w:val="28"/>
        </w:rPr>
      </w:pPr>
    </w:p>
    <w:p w:rsidR="00BE53CC" w:rsidRDefault="00BE53CC" w:rsidP="00BE53CC">
      <w:pPr>
        <w:bidi/>
        <w:spacing w:before="1" w:line="424" w:lineRule="auto"/>
        <w:ind w:left="8367" w:right="1077" w:firstLine="254"/>
        <w:rPr>
          <w:rFonts w:ascii="Times New Roman" w:cs="Times New Roman"/>
          <w:b/>
          <w:bCs/>
          <w:sz w:val="28"/>
          <w:szCs w:val="28"/>
        </w:rPr>
      </w:pPr>
    </w:p>
    <w:p w:rsidR="00BE53CC" w:rsidRDefault="00BE53CC" w:rsidP="00BE53CC">
      <w:pPr>
        <w:bidi/>
        <w:spacing w:before="1" w:line="424" w:lineRule="auto"/>
        <w:ind w:left="8367" w:right="1077" w:firstLine="254"/>
        <w:rPr>
          <w:rFonts w:ascii="Times New Roman" w:cs="Times New Roman"/>
          <w:b/>
          <w:bCs/>
          <w:sz w:val="28"/>
          <w:szCs w:val="28"/>
        </w:rPr>
      </w:pPr>
    </w:p>
    <w:sectPr w:rsidR="00BE53CC">
      <w:footerReference w:type="default" r:id="rId9"/>
      <w:type w:val="continuous"/>
      <w:pgSz w:w="12240" w:h="15840"/>
      <w:pgMar w:top="40" w:right="360" w:bottom="1500" w:left="360" w:header="0" w:footer="1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33" w:rsidRDefault="006E1233">
      <w:r>
        <w:separator/>
      </w:r>
    </w:p>
  </w:endnote>
  <w:endnote w:type="continuationSeparator" w:id="0">
    <w:p w:rsidR="006E1233" w:rsidRDefault="006E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91" w:rsidRDefault="009C3ECE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63264" behindDoc="1" locked="0" layoutInCell="1" allowOverlap="1">
              <wp:simplePos x="0" y="0"/>
              <wp:positionH relativeFrom="page">
                <wp:posOffset>898497</wp:posOffset>
              </wp:positionH>
              <wp:positionV relativeFrom="page">
                <wp:posOffset>9088340</wp:posOffset>
              </wp:positionV>
              <wp:extent cx="5818505" cy="858741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8505" cy="85874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6291" w:rsidRDefault="009C3ECE">
                          <w:pPr>
                            <w:pStyle w:val="BodyText"/>
                            <w:bidi/>
                            <w:spacing w:before="8"/>
                            <w:ind w:left="18"/>
                          </w:pPr>
                          <w:r>
                            <w:rPr>
                              <w:color w:val="002364"/>
                              <w:w w:val="98"/>
                              <w:rtl/>
                            </w:rPr>
  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  </w:r>
                        </w:p>
                        <w:p w:rsidR="00C96291" w:rsidRDefault="00BE53CC" w:rsidP="00BE53CC">
                          <w:pPr>
                            <w:bidi/>
                            <w:spacing w:before="1"/>
                            <w:ind w:left="626"/>
                            <w:jc w:val="center"/>
                            <w:rPr>
                              <w:b/>
                              <w:bCs/>
                              <w:color w:val="001F4F"/>
                              <w:w w:val="79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1F4F"/>
                              <w:w w:val="79"/>
                              <w:sz w:val="32"/>
                              <w:szCs w:val="32"/>
                            </w:rPr>
                            <w:t xml:space="preserve">12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1F4F"/>
                              <w:w w:val="79"/>
                              <w:sz w:val="32"/>
                              <w:szCs w:val="32"/>
                            </w:rPr>
                            <w:t>omar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1F4F"/>
                              <w:w w:val="79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1F4F"/>
                              <w:w w:val="79"/>
                              <w:sz w:val="32"/>
                              <w:szCs w:val="32"/>
                            </w:rPr>
                            <w:t>Ebn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1F4F"/>
                              <w:w w:val="79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1F4F"/>
                              <w:w w:val="79"/>
                              <w:sz w:val="32"/>
                              <w:szCs w:val="32"/>
                            </w:rPr>
                            <w:t>elkhata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1F4F"/>
                              <w:w w:val="79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1F4F"/>
                              <w:w w:val="79"/>
                              <w:sz w:val="32"/>
                              <w:szCs w:val="32"/>
                            </w:rPr>
                            <w:t>st</w:t>
                          </w:r>
                          <w:proofErr w:type="spellEnd"/>
                          <w:proofErr w:type="gramStart"/>
                          <w:r>
                            <w:rPr>
                              <w:b/>
                              <w:bCs/>
                              <w:color w:val="001F4F"/>
                              <w:w w:val="79"/>
                              <w:sz w:val="32"/>
                              <w:szCs w:val="32"/>
                            </w:rPr>
                            <w:t>,-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1F4F"/>
                              <w:w w:val="79"/>
                              <w:sz w:val="32"/>
                              <w:szCs w:val="32"/>
                            </w:rPr>
                            <w:t xml:space="preserve"> Tanta</w:t>
                          </w:r>
                        </w:p>
                        <w:p w:rsidR="00BE53CC" w:rsidRDefault="00BE53CC" w:rsidP="00BE53CC">
                          <w:pPr>
                            <w:bidi/>
                            <w:spacing w:before="1"/>
                            <w:ind w:left="626"/>
                            <w:jc w:val="right"/>
                            <w:rPr>
                              <w:b/>
                              <w:bCs/>
                              <w:color w:val="001F4F"/>
                              <w:w w:val="79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1F4F"/>
                              <w:w w:val="79"/>
                              <w:sz w:val="32"/>
                              <w:szCs w:val="32"/>
                            </w:rPr>
                            <w:t>Tel: +201113368268                              Email: markohany00@gmail.com</w:t>
                          </w:r>
                        </w:p>
                        <w:p w:rsidR="00BE53CC" w:rsidRDefault="00BE53CC" w:rsidP="00BE53CC">
                          <w:pPr>
                            <w:bidi/>
                            <w:spacing w:before="1"/>
                            <w:ind w:left="626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.75pt;margin-top:715.6pt;width:458.15pt;height:67.6pt;z-index:-15753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" filled="f" stroked="f">
              <v:path arrowok="t"/>
              <v:textbox inset="0,0,0,0">
                <w:txbxContent>
                  <w:p w:rsidR="00C96291" w:rsidRDefault="009C3ECE">
                    <w:pPr>
                      <w:pStyle w:val="BodyText"/>
                      <w:bidi/>
                      <w:spacing w:before="8"/>
                      <w:ind w:left="18"/>
                    </w:pPr>
                    <w:r>
                      <w:rPr>
                        <w:color w:val="002364"/>
                        <w:w w:val="98"/>
                        <w:rtl/>
                      </w:rPr>
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</w:r>
                  </w:p>
                  <w:p w:rsidR="00C96291" w:rsidRDefault="00BE53CC" w:rsidP="00BE53CC">
                    <w:pPr>
                      <w:bidi/>
                      <w:spacing w:before="1"/>
                      <w:ind w:left="626"/>
                      <w:jc w:val="center"/>
                      <w:rPr>
                        <w:b/>
                        <w:bCs/>
                        <w:color w:val="001F4F"/>
                        <w:w w:val="79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1F4F"/>
                        <w:w w:val="79"/>
                        <w:sz w:val="32"/>
                        <w:szCs w:val="32"/>
                      </w:rPr>
                      <w:t xml:space="preserve">12 </w:t>
                    </w:r>
                    <w:proofErr w:type="spellStart"/>
                    <w:r>
                      <w:rPr>
                        <w:b/>
                        <w:bCs/>
                        <w:color w:val="001F4F"/>
                        <w:w w:val="79"/>
                        <w:sz w:val="32"/>
                        <w:szCs w:val="32"/>
                      </w:rPr>
                      <w:t>omar</w:t>
                    </w:r>
                    <w:proofErr w:type="spellEnd"/>
                    <w:r>
                      <w:rPr>
                        <w:b/>
                        <w:bCs/>
                        <w:color w:val="001F4F"/>
                        <w:w w:val="79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1F4F"/>
                        <w:w w:val="79"/>
                        <w:sz w:val="32"/>
                        <w:szCs w:val="32"/>
                      </w:rPr>
                      <w:t>Ebn</w:t>
                    </w:r>
                    <w:proofErr w:type="spellEnd"/>
                    <w:r>
                      <w:rPr>
                        <w:b/>
                        <w:bCs/>
                        <w:color w:val="001F4F"/>
                        <w:w w:val="79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1F4F"/>
                        <w:w w:val="79"/>
                        <w:sz w:val="32"/>
                        <w:szCs w:val="32"/>
                      </w:rPr>
                      <w:t>elkhata</w:t>
                    </w:r>
                    <w:proofErr w:type="spellEnd"/>
                    <w:r>
                      <w:rPr>
                        <w:b/>
                        <w:bCs/>
                        <w:color w:val="001F4F"/>
                        <w:w w:val="79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color w:val="001F4F"/>
                        <w:w w:val="79"/>
                        <w:sz w:val="32"/>
                        <w:szCs w:val="32"/>
                      </w:rPr>
                      <w:t>st</w:t>
                    </w:r>
                    <w:proofErr w:type="spellEnd"/>
                    <w:proofErr w:type="gramStart"/>
                    <w:r>
                      <w:rPr>
                        <w:b/>
                        <w:bCs/>
                        <w:color w:val="001F4F"/>
                        <w:w w:val="79"/>
                        <w:sz w:val="32"/>
                        <w:szCs w:val="32"/>
                      </w:rPr>
                      <w:t>,-</w:t>
                    </w:r>
                    <w:proofErr w:type="gramEnd"/>
                    <w:r>
                      <w:rPr>
                        <w:b/>
                        <w:bCs/>
                        <w:color w:val="001F4F"/>
                        <w:w w:val="79"/>
                        <w:sz w:val="32"/>
                        <w:szCs w:val="32"/>
                      </w:rPr>
                      <w:t xml:space="preserve"> Tanta</w:t>
                    </w:r>
                  </w:p>
                  <w:p w:rsidR="00BE53CC" w:rsidRDefault="00BE53CC" w:rsidP="00BE53CC">
                    <w:pPr>
                      <w:bidi/>
                      <w:spacing w:before="1"/>
                      <w:ind w:left="626"/>
                      <w:jc w:val="right"/>
                      <w:rPr>
                        <w:b/>
                        <w:bCs/>
                        <w:color w:val="001F4F"/>
                        <w:w w:val="79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1F4F"/>
                        <w:w w:val="79"/>
                        <w:sz w:val="32"/>
                        <w:szCs w:val="32"/>
                      </w:rPr>
                      <w:t>Tel: +201113368268                              Email: markohany00@gmail.com</w:t>
                    </w:r>
                  </w:p>
                  <w:p w:rsidR="00BE53CC" w:rsidRDefault="00BE53CC" w:rsidP="00BE53CC">
                    <w:pPr>
                      <w:bidi/>
                      <w:spacing w:before="1"/>
                      <w:ind w:left="626"/>
                      <w:rPr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33" w:rsidRDefault="006E1233">
      <w:r>
        <w:separator/>
      </w:r>
    </w:p>
  </w:footnote>
  <w:footnote w:type="continuationSeparator" w:id="0">
    <w:p w:rsidR="006E1233" w:rsidRDefault="006E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914"/>
    <w:multiLevelType w:val="hybridMultilevel"/>
    <w:tmpl w:val="E28C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041B9"/>
    <w:multiLevelType w:val="hybridMultilevel"/>
    <w:tmpl w:val="38DEE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0B5BCB"/>
    <w:multiLevelType w:val="hybridMultilevel"/>
    <w:tmpl w:val="2C02B0DA"/>
    <w:lvl w:ilvl="0" w:tplc="A906C85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6291"/>
    <w:rsid w:val="002D6049"/>
    <w:rsid w:val="004706F3"/>
    <w:rsid w:val="0047621C"/>
    <w:rsid w:val="006A35F1"/>
    <w:rsid w:val="006E1233"/>
    <w:rsid w:val="009C3ECE"/>
    <w:rsid w:val="00BE53CC"/>
    <w:rsid w:val="00C9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3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F1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3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3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E53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3CC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3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F1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3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3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E53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3C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20106</dc:creator>
  <cp:lastModifiedBy>ME</cp:lastModifiedBy>
  <cp:revision>2</cp:revision>
  <dcterms:created xsi:type="dcterms:W3CDTF">2025-02-18T20:55:00Z</dcterms:created>
  <dcterms:modified xsi:type="dcterms:W3CDTF">2025-02-18T20:55:00Z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2019</vt:lpwstr>
  </property>
</Properties>
</file>